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360" w:hanging="360"/>
        <w:jc w:val="center"/>
        <w:rPr>
          <w:b w:val="1"/>
          <w:bCs w:val="1"/>
          <w:sz w:val="32"/>
          <w:szCs w:val="32"/>
        </w:rPr>
      </w:pPr>
      <w:r>
        <w:rPr>
          <w:b w:val="1"/>
          <w:bCs w:val="1"/>
          <w:sz w:val="32"/>
          <w:szCs w:val="32"/>
          <w:rtl w:val="0"/>
          <w:lang w:val="en-US"/>
        </w:rPr>
        <w:t xml:space="preserve">Additional CPT Codes </w:t>
      </w:r>
    </w:p>
    <w:p>
      <w:pPr>
        <w:pStyle w:val="Body"/>
        <w:ind w:left="360" w:hanging="360"/>
        <w:jc w:val="center"/>
        <w:rPr>
          <w:b w:val="1"/>
          <w:bCs w:val="1"/>
          <w:sz w:val="32"/>
          <w:szCs w:val="32"/>
        </w:rPr>
      </w:pPr>
      <w:r>
        <w:rPr>
          <w:b w:val="1"/>
          <w:bCs w:val="1"/>
          <w:sz w:val="32"/>
          <w:szCs w:val="32"/>
          <w:rtl w:val="0"/>
          <w:lang w:val="en-US"/>
        </w:rPr>
        <w:t>Available to Massage Therapists</w:t>
      </w:r>
    </w:p>
    <w:p>
      <w:pPr>
        <w:pStyle w:val="Body"/>
        <w:spacing w:before="100"/>
        <w:jc w:val="center"/>
        <w:rPr>
          <w:sz w:val="24"/>
          <w:szCs w:val="24"/>
        </w:rPr>
      </w:pPr>
      <w:r>
        <w:rPr>
          <w:sz w:val="24"/>
          <w:szCs w:val="24"/>
          <w:rtl w:val="0"/>
          <w:lang w:val="en-US"/>
        </w:rPr>
        <w:t>by Elizabeth Jane Brooks, LMT, BCTMB</w:t>
      </w:r>
    </w:p>
    <w:p>
      <w:pPr>
        <w:pStyle w:val="Body"/>
        <w:rPr>
          <w:sz w:val="24"/>
          <w:szCs w:val="24"/>
        </w:rPr>
      </w:pPr>
    </w:p>
    <w:p>
      <w:pPr>
        <w:pStyle w:val="Body"/>
        <w:rPr>
          <w:sz w:val="24"/>
          <w:szCs w:val="24"/>
        </w:rPr>
      </w:pPr>
    </w:p>
    <w:p>
      <w:pPr>
        <w:pStyle w:val="Body"/>
        <w:rPr>
          <w:sz w:val="24"/>
          <w:szCs w:val="24"/>
        </w:rPr>
      </w:pPr>
      <w:r>
        <w:rPr>
          <w:sz w:val="24"/>
          <w:szCs w:val="24"/>
          <w:rtl w:val="0"/>
          <w:lang w:val="en-US"/>
        </w:rPr>
        <w:t>In the previous coding article, we covered codes specific to particular massage modalities (97124, 97140, 97112).</w:t>
      </w:r>
      <w:r>
        <w:rPr>
          <w:b w:val="1"/>
          <w:bCs w:val="1"/>
          <w:sz w:val="24"/>
          <w:szCs w:val="24"/>
          <w:rtl w:val="0"/>
          <w:lang w:val="en-US"/>
        </w:rPr>
        <w:t xml:space="preserve"> </w:t>
      </w:r>
      <w:r>
        <w:rPr>
          <w:sz w:val="24"/>
          <w:szCs w:val="24"/>
          <w:rtl w:val="0"/>
          <w:lang w:val="en-US"/>
        </w:rPr>
        <w:t xml:space="preserve">Below is an expanded list of codes that can accompany the massage modalities above, which will now be explored: </w:t>
      </w:r>
      <w:r>
        <w:rPr>
          <w:sz w:val="24"/>
          <w:szCs w:val="24"/>
          <w:rtl w:val="0"/>
        </w:rPr>
        <w:t>97010</w:t>
      </w:r>
      <w:r>
        <w:rPr>
          <w:sz w:val="24"/>
          <w:szCs w:val="24"/>
          <w:rtl w:val="0"/>
          <w:lang w:val="en-US"/>
        </w:rPr>
        <w:t xml:space="preserve">, </w:t>
      </w:r>
      <w:r>
        <w:rPr>
          <w:sz w:val="24"/>
          <w:szCs w:val="24"/>
          <w:rtl w:val="0"/>
        </w:rPr>
        <w:t>97070</w:t>
      </w:r>
      <w:r>
        <w:rPr>
          <w:sz w:val="24"/>
          <w:szCs w:val="24"/>
          <w:rtl w:val="0"/>
          <w:lang w:val="en-US"/>
        </w:rPr>
        <w:t xml:space="preserve">, </w:t>
      </w:r>
      <w:r>
        <w:rPr>
          <w:sz w:val="24"/>
          <w:szCs w:val="24"/>
          <w:rtl w:val="0"/>
        </w:rPr>
        <w:t>97139</w:t>
      </w:r>
      <w:r>
        <w:rPr>
          <w:sz w:val="24"/>
          <w:szCs w:val="24"/>
          <w:rtl w:val="0"/>
          <w:lang w:val="en-US"/>
        </w:rPr>
        <w:t xml:space="preserve">, </w:t>
      </w:r>
      <w:r>
        <w:rPr>
          <w:sz w:val="24"/>
          <w:szCs w:val="24"/>
          <w:rtl w:val="0"/>
        </w:rPr>
        <w:t>99201</w:t>
      </w:r>
      <w:r>
        <w:rPr>
          <w:sz w:val="24"/>
          <w:szCs w:val="24"/>
          <w:rtl w:val="0"/>
        </w:rPr>
        <w:t>–</w:t>
      </w:r>
      <w:r>
        <w:rPr>
          <w:sz w:val="24"/>
          <w:szCs w:val="24"/>
          <w:rtl w:val="0"/>
        </w:rPr>
        <w:t>99205</w:t>
      </w:r>
      <w:r>
        <w:rPr>
          <w:sz w:val="24"/>
          <w:szCs w:val="24"/>
          <w:rtl w:val="0"/>
          <w:lang w:val="en-US"/>
        </w:rPr>
        <w:t xml:space="preserve">, </w:t>
      </w:r>
      <w:r>
        <w:rPr>
          <w:sz w:val="24"/>
          <w:szCs w:val="24"/>
          <w:rtl w:val="0"/>
        </w:rPr>
        <w:t>99211</w:t>
      </w:r>
      <w:r>
        <w:rPr>
          <w:sz w:val="24"/>
          <w:szCs w:val="24"/>
          <w:rtl w:val="0"/>
        </w:rPr>
        <w:t>–</w:t>
      </w:r>
      <w:r>
        <w:rPr>
          <w:sz w:val="24"/>
          <w:szCs w:val="24"/>
          <w:rtl w:val="0"/>
        </w:rPr>
        <w:t>99215</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Acceptance may vary (more on that later), but it is important to be accurate with our coding. Properly establishing the services we are providing is necessary for eventually changing insurance company guidelines to accept necessary treatments. </w:t>
      </w:r>
    </w:p>
    <w:p>
      <w:pPr>
        <w:pStyle w:val="Body"/>
        <w:rPr>
          <w:sz w:val="24"/>
          <w:szCs w:val="24"/>
        </w:rPr>
      </w:pPr>
    </w:p>
    <w:p>
      <w:pPr>
        <w:pStyle w:val="Body"/>
        <w:rPr>
          <w:sz w:val="24"/>
          <w:szCs w:val="24"/>
        </w:rPr>
      </w:pPr>
    </w:p>
    <w:p>
      <w:pPr>
        <w:pStyle w:val="Body"/>
        <w:jc w:val="center"/>
        <w:rPr>
          <w:b w:val="1"/>
          <w:bCs w:val="1"/>
          <w:sz w:val="28"/>
          <w:szCs w:val="28"/>
        </w:rPr>
      </w:pPr>
      <w:r>
        <w:rPr>
          <w:b w:val="1"/>
          <w:bCs w:val="1"/>
          <w:sz w:val="28"/>
          <w:szCs w:val="28"/>
          <w:rtl w:val="0"/>
          <w:lang w:val="en-US"/>
        </w:rPr>
        <w:t>CPT Codes - General</w:t>
      </w:r>
    </w:p>
    <w:p>
      <w:pPr>
        <w:pStyle w:val="Body"/>
        <w:rPr>
          <w:sz w:val="24"/>
          <w:szCs w:val="24"/>
        </w:rPr>
      </w:pPr>
    </w:p>
    <w:p>
      <w:pPr>
        <w:pStyle w:val="Body"/>
        <w:rPr>
          <w:b w:val="1"/>
          <w:bCs w:val="1"/>
          <w:sz w:val="24"/>
          <w:szCs w:val="24"/>
        </w:rPr>
      </w:pPr>
      <w:r>
        <w:rPr>
          <w:b w:val="1"/>
          <w:bCs w:val="1"/>
          <w:sz w:val="24"/>
          <w:szCs w:val="24"/>
          <w:rtl w:val="0"/>
          <w:lang w:val="en-US"/>
        </w:rPr>
        <w:t xml:space="preserve">97010 - Hot and cold packs </w:t>
      </w:r>
    </w:p>
    <w:p>
      <w:pPr>
        <w:pStyle w:val="Body"/>
        <w:ind w:left="360" w:hanging="360"/>
        <w:rPr>
          <w:sz w:val="24"/>
          <w:szCs w:val="24"/>
        </w:rPr>
      </w:pPr>
      <w:r>
        <w:rPr>
          <w:sz w:val="24"/>
          <w:szCs w:val="24"/>
        </w:rPr>
        <w:tab/>
      </w:r>
    </w:p>
    <w:p>
      <w:pPr>
        <w:pStyle w:val="Body"/>
        <w:ind w:left="360" w:hanging="360"/>
        <w:rPr>
          <w:sz w:val="24"/>
          <w:szCs w:val="24"/>
        </w:rPr>
      </w:pPr>
      <w:r>
        <w:rPr>
          <w:sz w:val="24"/>
          <w:szCs w:val="24"/>
          <w:rtl w:val="0"/>
        </w:rPr>
        <w:tab/>
        <w:t>Health insurance companies usually bundle this with other massage codes (97124, 97140, and 97112).</w:t>
      </w:r>
    </w:p>
    <w:p>
      <w:pPr>
        <w:pStyle w:val="Body"/>
        <w:rPr>
          <w:sz w:val="24"/>
          <w:szCs w:val="24"/>
        </w:rPr>
      </w:pPr>
    </w:p>
    <w:p>
      <w:pPr>
        <w:pStyle w:val="Body"/>
        <w:rPr>
          <w:b w:val="1"/>
          <w:bCs w:val="1"/>
          <w:sz w:val="24"/>
          <w:szCs w:val="24"/>
        </w:rPr>
      </w:pPr>
      <w:r>
        <w:rPr>
          <w:b w:val="1"/>
          <w:bCs w:val="1"/>
          <w:sz w:val="24"/>
          <w:szCs w:val="24"/>
          <w:rtl w:val="0"/>
          <w:lang w:val="en-US"/>
        </w:rPr>
        <w:t>97070 - Supplies</w:t>
      </w:r>
    </w:p>
    <w:p>
      <w:pPr>
        <w:pStyle w:val="Body"/>
        <w:ind w:left="360" w:hanging="360"/>
        <w:rPr>
          <w:sz w:val="24"/>
          <w:szCs w:val="24"/>
        </w:rPr>
      </w:pPr>
      <w:r>
        <w:rPr>
          <w:sz w:val="24"/>
          <w:szCs w:val="24"/>
        </w:rPr>
        <w:tab/>
      </w:r>
    </w:p>
    <w:p>
      <w:pPr>
        <w:pStyle w:val="Body"/>
        <w:ind w:left="360" w:hanging="360"/>
        <w:rPr>
          <w:sz w:val="24"/>
          <w:szCs w:val="24"/>
        </w:rPr>
      </w:pPr>
      <w:r>
        <w:rPr>
          <w:sz w:val="24"/>
          <w:szCs w:val="24"/>
          <w:rtl w:val="0"/>
        </w:rPr>
        <w:tab/>
        <w:t>Gel packs, topicals, etc. that you sell retail can be billed under this code. I have not found a health insurance company that will allowed this code for LMT</w:t>
      </w:r>
      <w:r>
        <w:rPr>
          <w:sz w:val="24"/>
          <w:szCs w:val="24"/>
          <w:rtl w:val="0"/>
          <w:lang w:val="en-US"/>
        </w:rPr>
        <w:t>’</w:t>
      </w:r>
      <w:r>
        <w:rPr>
          <w:sz w:val="24"/>
          <w:szCs w:val="24"/>
          <w:rtl w:val="0"/>
          <w:lang w:val="en-US"/>
        </w:rPr>
        <w:t>s; however, auto insurance has paid this, occasionally needing some explanation.</w:t>
      </w:r>
    </w:p>
    <w:p>
      <w:pPr>
        <w:pStyle w:val="Body"/>
        <w:rPr>
          <w:sz w:val="24"/>
          <w:szCs w:val="24"/>
        </w:rPr>
      </w:pPr>
    </w:p>
    <w:p>
      <w:pPr>
        <w:pStyle w:val="Body"/>
        <w:rPr>
          <w:b w:val="1"/>
          <w:bCs w:val="1"/>
          <w:sz w:val="24"/>
          <w:szCs w:val="24"/>
        </w:rPr>
      </w:pPr>
      <w:r>
        <w:rPr>
          <w:b w:val="1"/>
          <w:bCs w:val="1"/>
          <w:sz w:val="24"/>
          <w:szCs w:val="24"/>
          <w:rtl w:val="0"/>
          <w:lang w:val="en-US"/>
        </w:rPr>
        <w:t>97139 - Unlisted Therapeutic Procedure</w:t>
      </w:r>
    </w:p>
    <w:p>
      <w:pPr>
        <w:pStyle w:val="Body"/>
        <w:ind w:left="360" w:hanging="360"/>
        <w:rPr>
          <w:sz w:val="24"/>
          <w:szCs w:val="24"/>
        </w:rPr>
      </w:pPr>
      <w:r>
        <w:rPr>
          <w:sz w:val="24"/>
          <w:szCs w:val="24"/>
        </w:rPr>
        <w:tab/>
      </w:r>
    </w:p>
    <w:p>
      <w:pPr>
        <w:pStyle w:val="Body"/>
        <w:ind w:left="360" w:hanging="360"/>
        <w:rPr>
          <w:sz w:val="24"/>
          <w:szCs w:val="24"/>
        </w:rPr>
      </w:pPr>
      <w:r>
        <w:rPr>
          <w:sz w:val="24"/>
          <w:szCs w:val="24"/>
          <w:rtl w:val="0"/>
        </w:rPr>
        <w:tab/>
        <w:t>This code can be used when you cannot find a more suitable code for the work you do and may require some explanation. This is usually denied by health insurance companies. Examples: Shiatsu, Therapeutic taping, Cupping.</w:t>
      </w:r>
    </w:p>
    <w:p>
      <w:pPr>
        <w:pStyle w:val="Default"/>
        <w:bidi w:val="0"/>
        <w:spacing w:line="280" w:lineRule="atLeast"/>
        <w:ind w:left="0" w:right="0" w:firstLine="0"/>
        <w:jc w:val="left"/>
        <w:rPr>
          <w:rtl w:val="0"/>
        </w:rPr>
      </w:pP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page"/>
      </w:r>
    </w:p>
    <w:p>
      <w:pPr>
        <w:pStyle w:val="Body"/>
        <w:ind w:left="360" w:hanging="360"/>
        <w:jc w:val="center"/>
        <w:rPr>
          <w:b w:val="1"/>
          <w:bCs w:val="1"/>
          <w:sz w:val="28"/>
          <w:szCs w:val="28"/>
        </w:rPr>
      </w:pPr>
      <w:r>
        <w:rPr>
          <w:b w:val="1"/>
          <w:bCs w:val="1"/>
          <w:sz w:val="28"/>
          <w:szCs w:val="28"/>
          <w:rtl w:val="0"/>
          <w:lang w:val="en-US"/>
        </w:rPr>
        <w:t>CPT Codes - Evaluation and Management (E&amp;M)</w:t>
      </w:r>
    </w:p>
    <w:p>
      <w:pPr>
        <w:pStyle w:val="Body"/>
        <w:ind w:left="360" w:hanging="360"/>
        <w:rPr>
          <w:sz w:val="24"/>
          <w:szCs w:val="24"/>
        </w:rPr>
      </w:pPr>
    </w:p>
    <w:p>
      <w:pPr>
        <w:pStyle w:val="Body"/>
        <w:ind w:left="360" w:hanging="360"/>
        <w:rPr>
          <w:sz w:val="24"/>
          <w:szCs w:val="24"/>
        </w:rPr>
      </w:pPr>
      <w:r>
        <w:rPr>
          <w:b w:val="1"/>
          <w:bCs w:val="1"/>
          <w:sz w:val="24"/>
          <w:szCs w:val="24"/>
          <w:rtl w:val="0"/>
          <w:lang w:val="en-US"/>
        </w:rPr>
        <w:t>99201</w:t>
      </w:r>
      <w:r>
        <w:rPr>
          <w:b w:val="1"/>
          <w:bCs w:val="1"/>
          <w:sz w:val="24"/>
          <w:szCs w:val="24"/>
          <w:rtl w:val="0"/>
        </w:rPr>
        <w:t>–</w:t>
      </w:r>
      <w:r>
        <w:rPr>
          <w:b w:val="1"/>
          <w:bCs w:val="1"/>
          <w:sz w:val="24"/>
          <w:szCs w:val="24"/>
          <w:rtl w:val="0"/>
          <w:lang w:val="en-US"/>
        </w:rPr>
        <w:t xml:space="preserve">99205 - </w:t>
      </w:r>
      <w:r>
        <w:rPr>
          <w:b w:val="1"/>
          <w:bCs w:val="1"/>
          <w:sz w:val="24"/>
          <w:szCs w:val="24"/>
          <w:rtl w:val="0"/>
          <w:lang w:val="en-US"/>
        </w:rPr>
        <w:t>New Patient Evaluation and Management</w:t>
      </w:r>
      <w:r>
        <w:rPr>
          <w:sz w:val="24"/>
          <w:szCs w:val="24"/>
          <w:rtl w:val="0"/>
          <w:lang w:val="en-US"/>
        </w:rPr>
        <w:t xml:space="preserve"> </w:t>
      </w:r>
    </w:p>
    <w:p>
      <w:pPr>
        <w:pStyle w:val="Body"/>
        <w:ind w:left="360" w:hanging="360"/>
        <w:rPr>
          <w:sz w:val="24"/>
          <w:szCs w:val="24"/>
        </w:rPr>
      </w:pPr>
      <w:r>
        <w:rPr>
          <w:sz w:val="24"/>
          <w:szCs w:val="24"/>
        </w:rPr>
        <w:tab/>
      </w:r>
    </w:p>
    <w:p>
      <w:pPr>
        <w:pStyle w:val="Body"/>
        <w:ind w:left="360" w:hanging="360"/>
        <w:rPr>
          <w:sz w:val="24"/>
          <w:szCs w:val="24"/>
        </w:rPr>
      </w:pPr>
      <w:r>
        <w:rPr>
          <w:sz w:val="24"/>
          <w:szCs w:val="24"/>
          <w:rtl w:val="0"/>
        </w:rPr>
        <w:tab/>
        <w:t>A new patient is one that you have not rendered services to for at least 3 years.  All 3 key components must be met: history, exam, and medical decision-making. Make sure to detail this in your documentation.</w:t>
      </w:r>
    </w:p>
    <w:p>
      <w:pPr>
        <w:pStyle w:val="Body"/>
        <w:ind w:left="360" w:hanging="360"/>
        <w:rPr>
          <w:sz w:val="24"/>
          <w:szCs w:val="24"/>
        </w:rPr>
      </w:pPr>
    </w:p>
    <w:p>
      <w:pPr>
        <w:pStyle w:val="Body"/>
        <w:ind w:left="360" w:hanging="360"/>
        <w:rPr>
          <w:sz w:val="24"/>
          <w:szCs w:val="24"/>
        </w:rPr>
      </w:pPr>
    </w:p>
    <w:tbl>
      <w:tblPr>
        <w:tblW w:w="8995"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09"/>
        <w:gridCol w:w="1564"/>
        <w:gridCol w:w="1602"/>
        <w:gridCol w:w="1159"/>
        <w:gridCol w:w="1569"/>
        <w:gridCol w:w="1592"/>
      </w:tblGrid>
      <w:tr>
        <w:tblPrEx>
          <w:shd w:val="clear" w:color="auto" w:fill="auto"/>
        </w:tblPrEx>
        <w:trPr>
          <w:trHeight w:val="295" w:hRule="atLeast"/>
        </w:trPr>
        <w:tc>
          <w:tcPr>
            <w:tcW w:type="dxa" w:w="1509"/>
            <w:tcBorders>
              <w:top w:val="single" w:color="000000" w:sz="2" w:space="0" w:shadow="0" w:frame="0"/>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CPT Code</w:t>
            </w:r>
          </w:p>
        </w:tc>
        <w:tc>
          <w:tcPr>
            <w:tcW w:type="dxa" w:w="1564"/>
            <w:tcBorders>
              <w:top w:val="single" w:color="000000" w:sz="2" w:space="0" w:shadow="0" w:frame="0"/>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99201</w:t>
            </w:r>
          </w:p>
        </w:tc>
        <w:tc>
          <w:tcPr>
            <w:tcW w:type="dxa" w:w="1602"/>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99202</w:t>
            </w:r>
          </w:p>
        </w:tc>
        <w:tc>
          <w:tcPr>
            <w:tcW w:type="dxa" w:w="1158"/>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99203</w:t>
            </w:r>
          </w:p>
        </w:tc>
        <w:tc>
          <w:tcPr>
            <w:tcW w:type="dxa" w:w="1569"/>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99204</w:t>
            </w:r>
          </w:p>
        </w:tc>
        <w:tc>
          <w:tcPr>
            <w:tcW w:type="dxa" w:w="1591"/>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99205</w:t>
            </w:r>
          </w:p>
        </w:tc>
      </w:tr>
      <w:tr>
        <w:tblPrEx>
          <w:shd w:val="clear" w:color="auto" w:fill="auto"/>
        </w:tblPrEx>
        <w:trPr>
          <w:trHeight w:val="714" w:hRule="atLeast"/>
        </w:trPr>
        <w:tc>
          <w:tcPr>
            <w:tcW w:type="dxa" w:w="1509"/>
            <w:tcBorders>
              <w:top w:val="nil"/>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History</w:t>
            </w:r>
          </w:p>
        </w:tc>
        <w:tc>
          <w:tcPr>
            <w:tcW w:type="dxa" w:w="1564"/>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Problem focused</w:t>
            </w:r>
          </w:p>
        </w:tc>
        <w:tc>
          <w:tcPr>
            <w:tcW w:type="dxa" w:w="1602"/>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Expanded problem focused</w:t>
            </w:r>
          </w:p>
        </w:tc>
        <w:tc>
          <w:tcPr>
            <w:tcW w:type="dxa" w:w="1158"/>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 xml:space="preserve">Detailed </w:t>
            </w:r>
          </w:p>
        </w:tc>
        <w:tc>
          <w:tcPr>
            <w:tcW w:type="dxa" w:w="1569"/>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Comprehensive</w:t>
            </w:r>
          </w:p>
        </w:tc>
        <w:tc>
          <w:tcPr>
            <w:tcW w:type="dxa" w:w="1591"/>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Comprehensive</w:t>
            </w:r>
          </w:p>
        </w:tc>
      </w:tr>
      <w:tr>
        <w:tblPrEx>
          <w:shd w:val="clear" w:color="auto" w:fill="auto"/>
        </w:tblPrEx>
        <w:trPr>
          <w:trHeight w:val="714" w:hRule="atLeast"/>
        </w:trPr>
        <w:tc>
          <w:tcPr>
            <w:tcW w:type="dxa" w:w="1509"/>
            <w:tcBorders>
              <w:top w:val="nil"/>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Exam</w:t>
            </w:r>
          </w:p>
        </w:tc>
        <w:tc>
          <w:tcPr>
            <w:tcW w:type="dxa" w:w="1564"/>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Problem focused</w:t>
            </w:r>
          </w:p>
        </w:tc>
        <w:tc>
          <w:tcPr>
            <w:tcW w:type="dxa" w:w="16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Expanded problem focused</w:t>
            </w:r>
          </w:p>
        </w:tc>
        <w:tc>
          <w:tcPr>
            <w:tcW w:type="dxa" w:w="1158"/>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Detailed</w:t>
            </w:r>
          </w:p>
        </w:tc>
        <w:tc>
          <w:tcPr>
            <w:tcW w:type="dxa" w:w="1569"/>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Comprehensive</w:t>
            </w:r>
          </w:p>
        </w:tc>
        <w:tc>
          <w:tcPr>
            <w:tcW w:type="dxa" w:w="159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Comprehensive</w:t>
            </w:r>
          </w:p>
        </w:tc>
      </w:tr>
      <w:tr>
        <w:tblPrEx>
          <w:shd w:val="clear" w:color="auto" w:fill="auto"/>
        </w:tblPrEx>
        <w:trPr>
          <w:trHeight w:val="714" w:hRule="atLeast"/>
        </w:trPr>
        <w:tc>
          <w:tcPr>
            <w:tcW w:type="dxa" w:w="1509"/>
            <w:tcBorders>
              <w:top w:val="nil"/>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Medical Decision Making</w:t>
            </w:r>
          </w:p>
        </w:tc>
        <w:tc>
          <w:tcPr>
            <w:tcW w:type="dxa" w:w="1564"/>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Straightforward</w:t>
            </w:r>
          </w:p>
        </w:tc>
        <w:tc>
          <w:tcPr>
            <w:tcW w:type="dxa" w:w="1602"/>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Straightforward</w:t>
            </w:r>
          </w:p>
        </w:tc>
        <w:tc>
          <w:tcPr>
            <w:tcW w:type="dxa" w:w="1158"/>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Low complexity</w:t>
            </w:r>
          </w:p>
        </w:tc>
        <w:tc>
          <w:tcPr>
            <w:tcW w:type="dxa" w:w="1569"/>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Moderate complexity</w:t>
            </w:r>
          </w:p>
        </w:tc>
        <w:tc>
          <w:tcPr>
            <w:tcW w:type="dxa" w:w="1591"/>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High complexity</w:t>
            </w:r>
          </w:p>
        </w:tc>
      </w:tr>
      <w:tr>
        <w:tblPrEx>
          <w:shd w:val="clear" w:color="auto" w:fill="auto"/>
        </w:tblPrEx>
        <w:trPr>
          <w:trHeight w:val="477" w:hRule="atLeast"/>
        </w:trPr>
        <w:tc>
          <w:tcPr>
            <w:tcW w:type="dxa" w:w="1509"/>
            <w:tcBorders>
              <w:top w:val="nil"/>
              <w:left w:val="single" w:color="000000" w:sz="2" w:space="0" w:shadow="0" w:frame="0"/>
              <w:bottom w:val="single" w:color="000000" w:sz="2" w:space="0" w:shadow="0" w:frame="0"/>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Face to Face Time</w:t>
            </w:r>
          </w:p>
        </w:tc>
        <w:tc>
          <w:tcPr>
            <w:tcW w:type="dxa" w:w="1564"/>
            <w:tcBorders>
              <w:top w:val="nil"/>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10 minutes</w:t>
            </w:r>
          </w:p>
        </w:tc>
        <w:tc>
          <w:tcPr>
            <w:tcW w:type="dxa" w:w="1602"/>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20 minutes</w:t>
            </w:r>
          </w:p>
        </w:tc>
        <w:tc>
          <w:tcPr>
            <w:tcW w:type="dxa" w:w="1158"/>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30 minutes</w:t>
            </w:r>
          </w:p>
        </w:tc>
        <w:tc>
          <w:tcPr>
            <w:tcW w:type="dxa" w:w="1569"/>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45 minutes</w:t>
            </w:r>
          </w:p>
        </w:tc>
        <w:tc>
          <w:tcPr>
            <w:tcW w:type="dxa" w:w="1591"/>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60 minutes</w:t>
            </w:r>
          </w:p>
        </w:tc>
      </w:tr>
    </w:tbl>
    <w:p>
      <w:pPr>
        <w:pStyle w:val="Body"/>
        <w:ind w:left="360" w:hanging="360"/>
        <w:rPr>
          <w:sz w:val="24"/>
          <w:szCs w:val="24"/>
        </w:rPr>
      </w:pPr>
    </w:p>
    <w:p>
      <w:pPr>
        <w:pStyle w:val="Body"/>
        <w:ind w:left="360" w:hanging="360"/>
        <w:rPr>
          <w:sz w:val="24"/>
          <w:szCs w:val="24"/>
        </w:rPr>
      </w:pPr>
    </w:p>
    <w:p>
      <w:pPr>
        <w:pStyle w:val="Body"/>
        <w:rPr>
          <w:sz w:val="24"/>
          <w:szCs w:val="24"/>
        </w:rPr>
      </w:pPr>
      <w:r>
        <w:rPr>
          <w:sz w:val="24"/>
          <w:szCs w:val="24"/>
        </w:rPr>
        <w:tab/>
      </w:r>
    </w:p>
    <w:p>
      <w:pPr>
        <w:pStyle w:val="Body"/>
        <w:ind w:left="360" w:hanging="360"/>
        <w:rPr>
          <w:b w:val="1"/>
          <w:bCs w:val="1"/>
          <w:sz w:val="24"/>
          <w:szCs w:val="24"/>
        </w:rPr>
      </w:pPr>
      <w:r>
        <w:rPr>
          <w:b w:val="1"/>
          <w:bCs w:val="1"/>
          <w:sz w:val="24"/>
          <w:szCs w:val="24"/>
          <w:rtl w:val="0"/>
          <w:lang w:val="en-US"/>
        </w:rPr>
        <w:t>99211-99215</w:t>
      </w:r>
      <w:r>
        <w:rPr>
          <w:b w:val="1"/>
          <w:bCs w:val="1"/>
          <w:sz w:val="24"/>
          <w:szCs w:val="24"/>
          <w:rtl w:val="0"/>
          <w:lang w:val="en-US"/>
        </w:rPr>
        <w:t xml:space="preserve"> Established Patient Evaluation and Management</w:t>
      </w:r>
    </w:p>
    <w:p>
      <w:pPr>
        <w:pStyle w:val="Body"/>
        <w:ind w:left="360" w:hanging="360"/>
        <w:rPr>
          <w:sz w:val="24"/>
          <w:szCs w:val="24"/>
        </w:rPr>
      </w:pPr>
      <w:r>
        <w:rPr>
          <w:sz w:val="24"/>
          <w:szCs w:val="24"/>
        </w:rPr>
        <w:tab/>
      </w:r>
    </w:p>
    <w:p>
      <w:pPr>
        <w:pStyle w:val="Body"/>
        <w:ind w:left="360" w:hanging="360"/>
        <w:rPr>
          <w:sz w:val="24"/>
          <w:szCs w:val="24"/>
        </w:rPr>
      </w:pPr>
      <w:r>
        <w:rPr>
          <w:sz w:val="24"/>
          <w:szCs w:val="24"/>
          <w:rtl w:val="0"/>
        </w:rPr>
        <w:tab/>
        <w:t>An established patient is one that has received your services within the last 3 years. 2 of the 3 key requirements must be met (</w:t>
      </w:r>
      <w:r>
        <w:rPr>
          <w:b w:val="1"/>
          <w:bCs w:val="1"/>
          <w:sz w:val="24"/>
          <w:szCs w:val="24"/>
          <w:rtl w:val="0"/>
          <w:lang w:val="en-US"/>
        </w:rPr>
        <w:t>history</w:t>
      </w:r>
      <w:r>
        <w:rPr>
          <w:sz w:val="24"/>
          <w:szCs w:val="24"/>
          <w:rtl w:val="0"/>
          <w:lang w:val="en-US"/>
        </w:rPr>
        <w:t xml:space="preserve">, </w:t>
      </w:r>
      <w:r>
        <w:rPr>
          <w:b w:val="1"/>
          <w:bCs w:val="1"/>
          <w:sz w:val="24"/>
          <w:szCs w:val="24"/>
          <w:rtl w:val="0"/>
          <w:lang w:val="en-US"/>
        </w:rPr>
        <w:t>exam</w:t>
      </w:r>
      <w:r>
        <w:rPr>
          <w:sz w:val="24"/>
          <w:szCs w:val="24"/>
          <w:rtl w:val="0"/>
          <w:lang w:val="en-US"/>
        </w:rPr>
        <w:t xml:space="preserve">, </w:t>
      </w:r>
      <w:r>
        <w:rPr>
          <w:b w:val="1"/>
          <w:bCs w:val="1"/>
          <w:sz w:val="24"/>
          <w:szCs w:val="24"/>
          <w:rtl w:val="0"/>
          <w:lang w:val="en-US"/>
        </w:rPr>
        <w:t>medical decision-making</w:t>
      </w:r>
      <w:r>
        <w:rPr>
          <w:sz w:val="24"/>
          <w:szCs w:val="24"/>
          <w:rtl w:val="0"/>
          <w:lang w:val="en-US"/>
        </w:rPr>
        <w:t>). Again, make sure this is in your documentation.</w:t>
      </w:r>
    </w:p>
    <w:p>
      <w:pPr>
        <w:pStyle w:val="Body"/>
        <w:ind w:left="360" w:hanging="360"/>
        <w:rPr>
          <w:sz w:val="24"/>
          <w:szCs w:val="24"/>
        </w:rPr>
      </w:pPr>
    </w:p>
    <w:tbl>
      <w:tblPr>
        <w:tblW w:w="8995"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09"/>
        <w:gridCol w:w="1333"/>
        <w:gridCol w:w="1573"/>
        <w:gridCol w:w="1350"/>
        <w:gridCol w:w="1471"/>
        <w:gridCol w:w="1759"/>
      </w:tblGrid>
      <w:tr>
        <w:tblPrEx>
          <w:shd w:val="clear" w:color="auto" w:fill="auto"/>
        </w:tblPrEx>
        <w:trPr>
          <w:trHeight w:val="295" w:hRule="atLeast"/>
        </w:trPr>
        <w:tc>
          <w:tcPr>
            <w:tcW w:type="dxa" w:w="1509"/>
            <w:tcBorders>
              <w:top w:val="single" w:color="000000" w:sz="2" w:space="0" w:shadow="0" w:frame="0"/>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CPT Code</w:t>
            </w:r>
          </w:p>
        </w:tc>
        <w:tc>
          <w:tcPr>
            <w:tcW w:type="dxa" w:w="1332"/>
            <w:tcBorders>
              <w:top w:val="single" w:color="000000" w:sz="2" w:space="0" w:shadow="0" w:frame="0"/>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99211</w:t>
            </w:r>
          </w:p>
        </w:tc>
        <w:tc>
          <w:tcPr>
            <w:tcW w:type="dxa" w:w="1573"/>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99212</w:t>
            </w:r>
          </w:p>
        </w:tc>
        <w:tc>
          <w:tcPr>
            <w:tcW w:type="dxa" w:w="1349"/>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99213</w:t>
            </w:r>
          </w:p>
        </w:tc>
        <w:tc>
          <w:tcPr>
            <w:tcW w:type="dxa" w:w="1471"/>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99214</w:t>
            </w:r>
          </w:p>
        </w:tc>
        <w:tc>
          <w:tcPr>
            <w:tcW w:type="dxa" w:w="1758"/>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99215</w:t>
            </w:r>
          </w:p>
        </w:tc>
      </w:tr>
      <w:tr>
        <w:tblPrEx>
          <w:shd w:val="clear" w:color="auto" w:fill="auto"/>
        </w:tblPrEx>
        <w:trPr>
          <w:trHeight w:val="714" w:hRule="atLeast"/>
        </w:trPr>
        <w:tc>
          <w:tcPr>
            <w:tcW w:type="dxa" w:w="1509"/>
            <w:tcBorders>
              <w:top w:val="nil"/>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History</w:t>
            </w:r>
          </w:p>
        </w:tc>
        <w:tc>
          <w:tcPr>
            <w:tcW w:type="dxa" w:w="1332"/>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Not required</w:t>
            </w:r>
          </w:p>
        </w:tc>
        <w:tc>
          <w:tcPr>
            <w:tcW w:type="dxa" w:w="1573"/>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Problem focused</w:t>
            </w:r>
          </w:p>
        </w:tc>
        <w:tc>
          <w:tcPr>
            <w:tcW w:type="dxa" w:w="1349"/>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Expanded problem focused</w:t>
            </w:r>
          </w:p>
        </w:tc>
        <w:tc>
          <w:tcPr>
            <w:tcW w:type="dxa" w:w="1471"/>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 xml:space="preserve">Detailed </w:t>
            </w:r>
          </w:p>
        </w:tc>
        <w:tc>
          <w:tcPr>
            <w:tcW w:type="dxa" w:w="1758"/>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Comprehensive</w:t>
            </w:r>
          </w:p>
        </w:tc>
      </w:tr>
      <w:tr>
        <w:tblPrEx>
          <w:shd w:val="clear" w:color="auto" w:fill="auto"/>
        </w:tblPrEx>
        <w:trPr>
          <w:trHeight w:val="714" w:hRule="atLeast"/>
        </w:trPr>
        <w:tc>
          <w:tcPr>
            <w:tcW w:type="dxa" w:w="1509"/>
            <w:tcBorders>
              <w:top w:val="nil"/>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Exam</w:t>
            </w:r>
          </w:p>
        </w:tc>
        <w:tc>
          <w:tcPr>
            <w:tcW w:type="dxa" w:w="1332"/>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Not required</w:t>
            </w:r>
          </w:p>
        </w:tc>
        <w:tc>
          <w:tcPr>
            <w:tcW w:type="dxa" w:w="1573"/>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Problem focused</w:t>
            </w:r>
          </w:p>
        </w:tc>
        <w:tc>
          <w:tcPr>
            <w:tcW w:type="dxa" w:w="1349"/>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Expanded problem focused</w:t>
            </w:r>
          </w:p>
        </w:tc>
        <w:tc>
          <w:tcPr>
            <w:tcW w:type="dxa" w:w="147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 xml:space="preserve">Detailed </w:t>
            </w:r>
          </w:p>
        </w:tc>
        <w:tc>
          <w:tcPr>
            <w:tcW w:type="dxa" w:w="1758"/>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Comprehensive</w:t>
            </w:r>
          </w:p>
        </w:tc>
      </w:tr>
      <w:tr>
        <w:tblPrEx>
          <w:shd w:val="clear" w:color="auto" w:fill="auto"/>
        </w:tblPrEx>
        <w:trPr>
          <w:trHeight w:val="714" w:hRule="atLeast"/>
        </w:trPr>
        <w:tc>
          <w:tcPr>
            <w:tcW w:type="dxa" w:w="1509"/>
            <w:tcBorders>
              <w:top w:val="nil"/>
              <w:left w:val="single" w:color="000000" w:sz="2" w:space="0" w:shadow="0" w:frame="0"/>
              <w:bottom w:val="nil"/>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Medical Decision Making</w:t>
            </w:r>
          </w:p>
        </w:tc>
        <w:tc>
          <w:tcPr>
            <w:tcW w:type="dxa" w:w="1332"/>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Not required</w:t>
            </w:r>
          </w:p>
        </w:tc>
        <w:tc>
          <w:tcPr>
            <w:tcW w:type="dxa" w:w="1573"/>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Straightforward</w:t>
            </w:r>
          </w:p>
        </w:tc>
        <w:tc>
          <w:tcPr>
            <w:tcW w:type="dxa" w:w="1349"/>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Low complexity</w:t>
            </w:r>
          </w:p>
        </w:tc>
        <w:tc>
          <w:tcPr>
            <w:tcW w:type="dxa" w:w="1471"/>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Moderate complexity</w:t>
            </w:r>
          </w:p>
        </w:tc>
        <w:tc>
          <w:tcPr>
            <w:tcW w:type="dxa" w:w="1758"/>
            <w:tcBorders>
              <w:top w:val="nil"/>
              <w:left w:val="single" w:color="000000" w:sz="2" w:space="0" w:shadow="0" w:frame="0"/>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High complexity</w:t>
            </w:r>
          </w:p>
        </w:tc>
      </w:tr>
      <w:tr>
        <w:tblPrEx>
          <w:shd w:val="clear" w:color="auto" w:fill="auto"/>
        </w:tblPrEx>
        <w:trPr>
          <w:trHeight w:val="477" w:hRule="atLeast"/>
        </w:trPr>
        <w:tc>
          <w:tcPr>
            <w:tcW w:type="dxa" w:w="1509"/>
            <w:tcBorders>
              <w:top w:val="nil"/>
              <w:left w:val="single" w:color="000000" w:sz="2" w:space="0" w:shadow="0" w:frame="0"/>
              <w:bottom w:val="single" w:color="000000" w:sz="2" w:space="0" w:shadow="0" w:frame="0"/>
              <w:right w:val="nil"/>
            </w:tcBorders>
            <w:shd w:val="clear" w:color="auto" w:fill="0075ba"/>
            <w:tcMar>
              <w:top w:type="dxa" w:w="80"/>
              <w:left w:type="dxa" w:w="80"/>
              <w:bottom w:type="dxa" w:w="80"/>
              <w:right w:type="dxa" w:w="80"/>
            </w:tcMar>
            <w:vAlign w:val="top"/>
          </w:tcPr>
          <w:p>
            <w:pPr>
              <w:pStyle w:val="Table Style 5"/>
              <w:jc w:val="center"/>
            </w:pPr>
            <w:r>
              <w:rPr>
                <w:rFonts w:ascii="Helvetica Neue" w:hAnsi="Helvetica Neue"/>
                <w:b w:val="1"/>
                <w:bCs w:val="1"/>
                <w:rtl w:val="0"/>
              </w:rPr>
              <w:t>Face to Face Time</w:t>
            </w:r>
          </w:p>
        </w:tc>
        <w:tc>
          <w:tcPr>
            <w:tcW w:type="dxa" w:w="1332"/>
            <w:tcBorders>
              <w:top w:val="nil"/>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5 minutes</w:t>
            </w:r>
          </w:p>
        </w:tc>
        <w:tc>
          <w:tcPr>
            <w:tcW w:type="dxa" w:w="1573"/>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10 minutes</w:t>
            </w:r>
          </w:p>
        </w:tc>
        <w:tc>
          <w:tcPr>
            <w:tcW w:type="dxa" w:w="1349"/>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15 minutes</w:t>
            </w:r>
          </w:p>
        </w:tc>
        <w:tc>
          <w:tcPr>
            <w:tcW w:type="dxa" w:w="1471"/>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25 minutes</w:t>
            </w:r>
          </w:p>
        </w:tc>
        <w:tc>
          <w:tcPr>
            <w:tcW w:type="dxa" w:w="1758"/>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40 minutes</w:t>
            </w:r>
          </w:p>
        </w:tc>
      </w:tr>
    </w:tbl>
    <w:p>
      <w:pPr>
        <w:pStyle w:val="Body"/>
        <w:ind w:left="360" w:hanging="360"/>
        <w:rPr>
          <w:sz w:val="24"/>
          <w:szCs w:val="24"/>
        </w:rPr>
      </w:pPr>
    </w:p>
    <w:p>
      <w:pPr>
        <w:pStyle w:val="Body"/>
        <w:ind w:left="360" w:hanging="360"/>
        <w:rPr>
          <w:sz w:val="24"/>
          <w:szCs w:val="24"/>
        </w:rPr>
      </w:pPr>
    </w:p>
    <w:p>
      <w:pPr>
        <w:pStyle w:val="Body"/>
        <w:ind w:left="360" w:firstLine="0"/>
        <w:rPr>
          <w:sz w:val="24"/>
          <w:szCs w:val="24"/>
        </w:rPr>
      </w:pPr>
    </w:p>
    <w:p>
      <w:pPr>
        <w:pStyle w:val="Body"/>
        <w:ind w:left="360" w:firstLine="0"/>
        <w:rPr>
          <w:sz w:val="24"/>
          <w:szCs w:val="24"/>
        </w:rPr>
      </w:pPr>
      <w:r>
        <w:rPr>
          <w:sz w:val="24"/>
          <w:szCs w:val="24"/>
          <w:rtl w:val="0"/>
          <w:lang w:val="en-US"/>
        </w:rPr>
        <w:t xml:space="preserve">For both new and established patients, it is also essential to include the components of evaluation and management: chief complaint, history of present complaint or illness (HPI), review of systems (ROS), and family/social history (PFSH). </w:t>
      </w:r>
    </w:p>
    <w:p>
      <w:pPr>
        <w:pStyle w:val="Body"/>
        <w:ind w:left="360" w:firstLine="0"/>
        <w:rPr>
          <w:sz w:val="24"/>
          <w:szCs w:val="24"/>
        </w:rPr>
      </w:pPr>
    </w:p>
    <w:p>
      <w:pPr>
        <w:pStyle w:val="Body"/>
        <w:ind w:left="360" w:firstLine="0"/>
        <w:rPr>
          <w:sz w:val="24"/>
          <w:szCs w:val="24"/>
        </w:rPr>
      </w:pPr>
    </w:p>
    <w:p>
      <w:pPr>
        <w:pStyle w:val="Body"/>
        <w:ind w:left="360" w:firstLine="0"/>
        <w:jc w:val="center"/>
        <w:rPr>
          <w:b w:val="1"/>
          <w:bCs w:val="1"/>
          <w:sz w:val="28"/>
          <w:szCs w:val="28"/>
        </w:rPr>
      </w:pPr>
      <w:r>
        <w:rPr>
          <w:b w:val="1"/>
          <w:bCs w:val="1"/>
          <w:sz w:val="28"/>
          <w:szCs w:val="28"/>
          <w:rtl w:val="0"/>
          <w:lang w:val="en-US"/>
        </w:rPr>
        <w:t>Key Components for Documentation (E&amp;M Codes)</w:t>
      </w:r>
    </w:p>
    <w:p>
      <w:pPr>
        <w:pStyle w:val="Body"/>
        <w:ind w:left="360" w:firstLine="0"/>
        <w:jc w:val="center"/>
        <w:rPr>
          <w:sz w:val="24"/>
          <w:szCs w:val="24"/>
        </w:rPr>
      </w:pPr>
      <w:r>
        <w:rPr>
          <w:sz w:val="24"/>
          <w:szCs w:val="24"/>
        </w:rPr>
        <w:tab/>
      </w:r>
    </w:p>
    <w:p>
      <w:pPr>
        <w:pStyle w:val="Body"/>
        <w:rPr>
          <w:sz w:val="24"/>
          <w:szCs w:val="24"/>
        </w:rPr>
      </w:pPr>
      <w:r>
        <w:rPr>
          <w:b w:val="1"/>
          <w:bCs w:val="1"/>
          <w:sz w:val="24"/>
          <w:szCs w:val="24"/>
          <w:rtl w:val="0"/>
          <w:lang w:val="en-US"/>
        </w:rPr>
        <w:t>History of present illness (HPI</w:t>
      </w:r>
      <w:r>
        <w:rPr>
          <w:sz w:val="24"/>
          <w:szCs w:val="24"/>
          <w:rtl w:val="0"/>
          <w:lang w:val="en-US"/>
        </w:rPr>
        <w:t xml:space="preserve">) </w:t>
      </w:r>
    </w:p>
    <w:p>
      <w:pPr>
        <w:pStyle w:val="Body"/>
        <w:rPr>
          <w:sz w:val="24"/>
          <w:szCs w:val="24"/>
        </w:rPr>
      </w:pPr>
      <w:r>
        <w:rPr>
          <w:sz w:val="24"/>
          <w:szCs w:val="24"/>
        </w:rPr>
        <w:tab/>
      </w:r>
    </w:p>
    <w:p>
      <w:pPr>
        <w:pStyle w:val="Body"/>
        <w:ind w:left="720" w:hanging="360"/>
        <w:rPr>
          <w:sz w:val="24"/>
          <w:szCs w:val="24"/>
        </w:rPr>
      </w:pPr>
      <w:r>
        <w:rPr>
          <w:sz w:val="24"/>
          <w:szCs w:val="24"/>
          <w:rtl w:val="0"/>
          <w:lang w:val="en-US"/>
        </w:rPr>
        <w:t>Examples:  Symptoms - Severity - Location - Onset - Duration - Aggravating/Relieving</w:t>
      </w:r>
    </w:p>
    <w:p>
      <w:pPr>
        <w:pStyle w:val="Body"/>
        <w:rPr>
          <w:sz w:val="24"/>
          <w:szCs w:val="24"/>
        </w:rPr>
      </w:pPr>
    </w:p>
    <w:p>
      <w:pPr>
        <w:pStyle w:val="Body"/>
        <w:rPr>
          <w:sz w:val="24"/>
          <w:szCs w:val="24"/>
        </w:rPr>
      </w:pPr>
      <w:r>
        <w:rPr>
          <w:b w:val="1"/>
          <w:bCs w:val="1"/>
          <w:sz w:val="24"/>
          <w:szCs w:val="24"/>
          <w:rtl w:val="0"/>
          <w:lang w:val="en-US"/>
        </w:rPr>
        <w:t>Review of systems (ROS)</w:t>
      </w:r>
      <w:r>
        <w:rPr>
          <w:sz w:val="24"/>
          <w:szCs w:val="24"/>
          <w:rtl w:val="0"/>
          <w:lang w:val="en-US"/>
        </w:rPr>
        <w:t xml:space="preserve"> </w:t>
      </w:r>
    </w:p>
    <w:p>
      <w:pPr>
        <w:pStyle w:val="Body"/>
        <w:rPr>
          <w:sz w:val="24"/>
          <w:szCs w:val="24"/>
        </w:rPr>
      </w:pPr>
    </w:p>
    <w:p>
      <w:pPr>
        <w:pStyle w:val="Body"/>
        <w:ind w:left="720" w:hanging="360"/>
        <w:rPr>
          <w:sz w:val="24"/>
          <w:szCs w:val="24"/>
        </w:rPr>
      </w:pPr>
      <w:r>
        <w:rPr>
          <w:sz w:val="24"/>
          <w:szCs w:val="24"/>
          <w:rtl w:val="0"/>
          <w:lang w:val="en-US"/>
        </w:rPr>
        <w:t xml:space="preserve">Examples: General constitution - Eyes - Cardiovascular - Endocrine - Respiratory - </w:t>
      </w:r>
      <w:r>
        <w:rPr>
          <w:sz w:val="24"/>
          <w:szCs w:val="24"/>
          <w:rtl w:val="0"/>
          <w:lang w:val="fr-FR"/>
        </w:rPr>
        <w:t>Gastrointestinal</w:t>
      </w:r>
      <w:r>
        <w:rPr>
          <w:sz w:val="24"/>
          <w:szCs w:val="24"/>
          <w:rtl w:val="0"/>
          <w:lang w:val="en-US"/>
        </w:rPr>
        <w:t xml:space="preserve"> - Musculoskeletal</w:t>
      </w:r>
    </w:p>
    <w:p>
      <w:pPr>
        <w:pStyle w:val="Body"/>
        <w:rPr>
          <w:sz w:val="24"/>
          <w:szCs w:val="24"/>
        </w:rPr>
      </w:pPr>
    </w:p>
    <w:p>
      <w:pPr>
        <w:pStyle w:val="Body"/>
        <w:rPr>
          <w:b w:val="1"/>
          <w:bCs w:val="1"/>
          <w:sz w:val="24"/>
          <w:szCs w:val="24"/>
        </w:rPr>
      </w:pPr>
      <w:r>
        <w:rPr>
          <w:b w:val="1"/>
          <w:bCs w:val="1"/>
          <w:sz w:val="24"/>
          <w:szCs w:val="24"/>
          <w:rtl w:val="0"/>
          <w:lang w:val="en-US"/>
        </w:rPr>
        <w:t xml:space="preserve">Family and social history (PFSH) </w:t>
      </w:r>
    </w:p>
    <w:p>
      <w:pPr>
        <w:pStyle w:val="Body"/>
        <w:rPr>
          <w:b w:val="1"/>
          <w:bCs w:val="1"/>
          <w:sz w:val="24"/>
          <w:szCs w:val="24"/>
        </w:rPr>
      </w:pPr>
    </w:p>
    <w:p>
      <w:pPr>
        <w:pStyle w:val="Body"/>
        <w:ind w:left="360" w:firstLine="0"/>
        <w:rPr>
          <w:sz w:val="24"/>
          <w:szCs w:val="24"/>
        </w:rPr>
      </w:pPr>
      <w:r>
        <w:rPr>
          <w:sz w:val="24"/>
          <w:szCs w:val="24"/>
          <w:rtl w:val="0"/>
          <w:lang w:val="en-US"/>
        </w:rPr>
        <w:t>Examples:  Medical - Family - Social</w:t>
      </w:r>
    </w:p>
    <w:p>
      <w:pPr>
        <w:pStyle w:val="Body"/>
        <w:ind w:left="360" w:hanging="360"/>
        <w:rPr>
          <w:sz w:val="24"/>
          <w:szCs w:val="24"/>
        </w:rPr>
      </w:pPr>
    </w:p>
    <w:tbl>
      <w:tblPr>
        <w:tblW w:w="9000"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0"/>
        <w:gridCol w:w="1800"/>
        <w:gridCol w:w="1800"/>
        <w:gridCol w:w="1800"/>
        <w:gridCol w:w="1800"/>
      </w:tblGrid>
      <w:tr>
        <w:tblPrEx>
          <w:shd w:val="clear" w:color="auto" w:fill="fefffe"/>
        </w:tblPrEx>
        <w:trPr>
          <w:trHeight w:val="288" w:hRule="atLeast"/>
          <w:tblHeader/>
        </w:trPr>
        <w:tc>
          <w:tcPr>
            <w:tcW w:type="dxa" w:w="1800"/>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History</w:t>
            </w:r>
          </w:p>
        </w:tc>
        <w:tc>
          <w:tcPr>
            <w:tcW w:type="dxa" w:w="1800"/>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PF</w:t>
            </w:r>
          </w:p>
        </w:tc>
        <w:tc>
          <w:tcPr>
            <w:tcW w:type="dxa" w:w="1800"/>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EPF</w:t>
            </w:r>
          </w:p>
        </w:tc>
        <w:tc>
          <w:tcPr>
            <w:tcW w:type="dxa" w:w="1800"/>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Detailed</w:t>
            </w:r>
          </w:p>
        </w:tc>
        <w:tc>
          <w:tcPr>
            <w:tcW w:type="dxa" w:w="1800"/>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Comprehensive</w:t>
            </w:r>
          </w:p>
        </w:tc>
      </w:tr>
      <w:tr>
        <w:tblPrEx>
          <w:shd w:val="clear" w:color="auto" w:fill="auto"/>
        </w:tblPrEx>
        <w:trPr>
          <w:trHeight w:val="727" w:hRule="atLeast"/>
        </w:trPr>
        <w:tc>
          <w:tcPr>
            <w:tcW w:type="dxa" w:w="1800"/>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PHI</w:t>
            </w:r>
          </w:p>
        </w:tc>
        <w:tc>
          <w:tcPr>
            <w:tcW w:type="dxa" w:w="1800"/>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Brief (list 1-3 elements)</w:t>
            </w:r>
          </w:p>
        </w:tc>
        <w:tc>
          <w:tcPr>
            <w:tcW w:type="dxa" w:w="1800"/>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Brief (list 1-3 elements)</w:t>
            </w:r>
          </w:p>
        </w:tc>
        <w:tc>
          <w:tcPr>
            <w:tcW w:type="dxa" w:w="1800"/>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Extended (3 Chronic or 4+ elements)</w:t>
            </w:r>
          </w:p>
        </w:tc>
        <w:tc>
          <w:tcPr>
            <w:tcW w:type="dxa" w:w="1800"/>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Extended (3 Chronic or 4+ elements)</w:t>
            </w:r>
          </w:p>
        </w:tc>
      </w:tr>
      <w:tr>
        <w:tblPrEx>
          <w:shd w:val="clear" w:color="auto" w:fill="auto"/>
        </w:tblPrEx>
        <w:trPr>
          <w:trHeight w:val="288" w:hRule="atLeast"/>
        </w:trPr>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b w:val="1"/>
                <w:bCs w:val="1"/>
                <w:rtl w:val="0"/>
              </w:rPr>
              <w:t>ROS</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None</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1 system</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2-9 systems</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10 systems</w:t>
            </w:r>
          </w:p>
        </w:tc>
      </w:tr>
      <w:tr>
        <w:tblPrEx>
          <w:shd w:val="clear" w:color="auto" w:fill="auto"/>
        </w:tblPrEx>
        <w:trPr>
          <w:trHeight w:val="479" w:hRule="atLeast"/>
        </w:trPr>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PFSH</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None</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None</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 out of 3 elements</w:t>
            </w:r>
          </w:p>
        </w:tc>
        <w:tc>
          <w:tcPr>
            <w:tcW w:type="dxa" w:w="1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3 out of 3 elements</w:t>
            </w:r>
          </w:p>
        </w:tc>
      </w:tr>
    </w:tbl>
    <w:p>
      <w:pPr>
        <w:pStyle w:val="Body"/>
        <w:ind w:left="360" w:hanging="360"/>
        <w:rPr>
          <w:sz w:val="24"/>
          <w:szCs w:val="24"/>
        </w:rPr>
      </w:pPr>
    </w:p>
    <w:p>
      <w:pPr>
        <w:pStyle w:val="Body"/>
        <w:ind w:left="360" w:hanging="360"/>
        <w:rPr>
          <w:sz w:val="24"/>
          <w:szCs w:val="24"/>
        </w:rPr>
      </w:pPr>
    </w:p>
    <w:p>
      <w:pPr>
        <w:pStyle w:val="Body"/>
        <w:ind w:left="360" w:hanging="360"/>
        <w:rPr>
          <w:sz w:val="24"/>
          <w:szCs w:val="24"/>
        </w:rPr>
      </w:pPr>
    </w:p>
    <w:p>
      <w:pPr>
        <w:pStyle w:val="Body"/>
        <w:ind w:left="360" w:firstLine="0"/>
        <w:rPr>
          <w:sz w:val="24"/>
          <w:szCs w:val="24"/>
        </w:rPr>
      </w:pPr>
      <w:r>
        <w:rPr>
          <w:sz w:val="24"/>
          <w:szCs w:val="24"/>
          <w:rtl w:val="0"/>
          <w:lang w:val="en-US"/>
        </w:rPr>
        <w:t xml:space="preserve">Since we are not physicians, our work rarely (if ever) includes the more complex </w:t>
      </w:r>
      <w:r>
        <w:rPr>
          <w:sz w:val="24"/>
          <w:szCs w:val="24"/>
          <w:rtl w:val="0"/>
        </w:rPr>
        <w:t xml:space="preserve">E&amp;M </w:t>
      </w:r>
      <w:r>
        <w:rPr>
          <w:sz w:val="24"/>
          <w:szCs w:val="24"/>
          <w:rtl w:val="0"/>
          <w:lang w:val="en-US"/>
        </w:rPr>
        <w:t xml:space="preserve">codes, but it is important to know the full range of possibilities at our disposal. </w:t>
      </w:r>
    </w:p>
    <w:p>
      <w:pPr>
        <w:pStyle w:val="Body"/>
        <w:rPr>
          <w:sz w:val="24"/>
          <w:szCs w:val="24"/>
        </w:rPr>
      </w:pPr>
    </w:p>
    <w:p>
      <w:pPr>
        <w:pStyle w:val="Body"/>
        <w:rPr>
          <w:sz w:val="24"/>
          <w:szCs w:val="24"/>
        </w:rPr>
      </w:pPr>
    </w:p>
    <w:p>
      <w:pPr>
        <w:pStyle w:val="Body"/>
        <w:jc w:val="center"/>
        <w:rPr>
          <w:b w:val="1"/>
          <w:bCs w:val="1"/>
          <w:sz w:val="28"/>
          <w:szCs w:val="28"/>
        </w:rPr>
      </w:pPr>
      <w:r>
        <w:rPr>
          <w:b w:val="1"/>
          <w:bCs w:val="1"/>
          <w:sz w:val="28"/>
          <w:szCs w:val="28"/>
          <w:rtl w:val="0"/>
          <w:lang w:val="en-US"/>
        </w:rPr>
        <w:t>Billing Process - Acceptance and Denials</w:t>
      </w:r>
    </w:p>
    <w:p>
      <w:pPr>
        <w:pStyle w:val="Body"/>
        <w:rPr>
          <w:sz w:val="24"/>
          <w:szCs w:val="24"/>
        </w:rPr>
      </w:pPr>
    </w:p>
    <w:p>
      <w:pPr>
        <w:pStyle w:val="Body"/>
        <w:rPr>
          <w:sz w:val="24"/>
          <w:szCs w:val="24"/>
        </w:rPr>
      </w:pPr>
      <w:r>
        <w:rPr>
          <w:sz w:val="24"/>
          <w:szCs w:val="24"/>
          <w:rtl w:val="0"/>
          <w:lang w:val="en-US"/>
        </w:rPr>
        <w:t>These codes have worked for me in my years engaging with a variety of auto insurance companies, although it should be noted that you may come across a company that (sometimes randomly) decides against accepting one.</w:t>
      </w:r>
      <w:r>
        <w:rPr>
          <w:sz w:val="24"/>
          <w:szCs w:val="24"/>
          <w:rtl w:val="0"/>
        </w:rPr>
        <w:t xml:space="preserve"> </w:t>
      </w:r>
      <w:r>
        <w:rPr>
          <w:sz w:val="24"/>
          <w:szCs w:val="24"/>
          <w:rtl w:val="0"/>
          <w:lang w:val="en-US"/>
        </w:rPr>
        <w:t xml:space="preserve"> </w:t>
      </w:r>
      <w:r>
        <w:rPr>
          <w:sz w:val="24"/>
          <w:szCs w:val="24"/>
          <w:rtl w:val="0"/>
          <w:lang w:val="en-US"/>
        </w:rPr>
        <w:t xml:space="preserve">So far, very few private health insurance companies pay us for these codes. </w:t>
      </w:r>
    </w:p>
    <w:p>
      <w:pPr>
        <w:pStyle w:val="Body"/>
        <w:rPr>
          <w:sz w:val="24"/>
          <w:szCs w:val="24"/>
        </w:rPr>
      </w:pPr>
    </w:p>
    <w:p>
      <w:pPr>
        <w:pStyle w:val="Body"/>
        <w:rPr>
          <w:sz w:val="24"/>
          <w:szCs w:val="24"/>
        </w:rPr>
      </w:pPr>
      <w:r>
        <w:rPr>
          <w:sz w:val="24"/>
          <w:szCs w:val="24"/>
          <w:rtl w:val="0"/>
          <w:lang w:val="en-US"/>
        </w:rPr>
        <w:t>While denials may still be encountered, I believe it is still valuable to bill health insurance for all of our services so they can see what services we actually perform, in the hopes of changing their billing guidelines to match reality.</w:t>
      </w:r>
    </w:p>
    <w:p>
      <w:pPr>
        <w:pStyle w:val="Body"/>
        <w:rPr>
          <w:sz w:val="24"/>
          <w:szCs w:val="24"/>
        </w:rPr>
      </w:pPr>
    </w:p>
    <w:p>
      <w:pPr>
        <w:pStyle w:val="Body"/>
        <w:rPr>
          <w:sz w:val="24"/>
          <w:szCs w:val="24"/>
        </w:rPr>
      </w:pPr>
      <w:r>
        <w:rPr>
          <w:sz w:val="24"/>
          <w:szCs w:val="24"/>
          <w:rtl w:val="0"/>
          <w:lang w:val="en-US"/>
        </w:rPr>
        <w:t xml:space="preserve">In the event of a denial, I recommend having a basic form letter to send in response. </w:t>
      </w:r>
      <w:r>
        <w:rPr>
          <w:sz w:val="24"/>
          <w:szCs w:val="24"/>
          <w:rtl w:val="0"/>
          <w:lang w:val="en-US"/>
        </w:rPr>
        <w:t xml:space="preserve">Once you have </w:t>
      </w:r>
      <w:r>
        <w:rPr>
          <w:sz w:val="24"/>
          <w:szCs w:val="24"/>
          <w:rtl w:val="0"/>
          <w:lang w:val="en-US"/>
        </w:rPr>
        <w:t>this</w:t>
      </w:r>
      <w:r>
        <w:rPr>
          <w:sz w:val="24"/>
          <w:szCs w:val="24"/>
          <w:rtl w:val="0"/>
        </w:rPr>
        <w:t xml:space="preserve"> letter </w:t>
      </w:r>
      <w:r>
        <w:rPr>
          <w:sz w:val="24"/>
          <w:szCs w:val="24"/>
          <w:rtl w:val="0"/>
          <w:lang w:val="en-US"/>
        </w:rPr>
        <w:t>on hand</w:t>
      </w:r>
      <w:r>
        <w:rPr>
          <w:sz w:val="24"/>
          <w:szCs w:val="24"/>
          <w:rtl w:val="0"/>
          <w:lang w:val="en-US"/>
        </w:rPr>
        <w:t xml:space="preserve">, it can be personalized for each </w:t>
      </w:r>
      <w:r>
        <w:rPr>
          <w:sz w:val="24"/>
          <w:szCs w:val="24"/>
          <w:rtl w:val="0"/>
          <w:lang w:val="en-US"/>
        </w:rPr>
        <w:t xml:space="preserve">unique situation, explaining </w:t>
      </w:r>
      <w:r>
        <w:rPr>
          <w:sz w:val="24"/>
          <w:szCs w:val="24"/>
          <w:rtl w:val="0"/>
          <w:lang w:val="en-US"/>
        </w:rPr>
        <w:t>why it is necessary for the treatment of your patient</w:t>
      </w:r>
      <w:r>
        <w:rPr>
          <w:sz w:val="24"/>
          <w:szCs w:val="24"/>
          <w:rtl w:val="0"/>
          <w:lang w:val="en-US"/>
        </w:rPr>
        <w:t>, and thus why they should pay for it. In my experience, once they</w:t>
      </w:r>
      <w:r>
        <w:rPr>
          <w:sz w:val="24"/>
          <w:szCs w:val="24"/>
          <w:rtl w:val="0"/>
          <w:lang w:val="en-US"/>
        </w:rPr>
        <w:t>’</w:t>
      </w:r>
      <w:r>
        <w:rPr>
          <w:sz w:val="24"/>
          <w:szCs w:val="24"/>
          <w:rtl w:val="0"/>
          <w:lang w:val="en-US"/>
        </w:rPr>
        <w:t xml:space="preserve">ve received the letter detailing my reasoning and the patient benefits, auto insurance companies have always agreed to pay for the services (and on rare occasion health insurance companies, which place much greater limitations on massage therapists). </w:t>
      </w:r>
    </w:p>
    <w:p>
      <w:pPr>
        <w:pStyle w:val="Body"/>
        <w:rPr>
          <w:sz w:val="24"/>
          <w:szCs w:val="24"/>
        </w:rPr>
      </w:pPr>
    </w:p>
    <w:p>
      <w:pPr>
        <w:pStyle w:val="Body"/>
        <w:rPr>
          <w:sz w:val="24"/>
          <w:szCs w:val="24"/>
        </w:rPr>
      </w:pPr>
    </w:p>
    <w:p>
      <w:pPr>
        <w:pStyle w:val="Body"/>
        <w:jc w:val="center"/>
        <w:rPr>
          <w:b w:val="1"/>
          <w:bCs w:val="1"/>
          <w:sz w:val="28"/>
          <w:szCs w:val="28"/>
        </w:rPr>
      </w:pPr>
      <w:r>
        <w:rPr>
          <w:b w:val="1"/>
          <w:bCs w:val="1"/>
          <w:sz w:val="28"/>
          <w:szCs w:val="28"/>
          <w:rtl w:val="0"/>
          <w:lang w:val="en-US"/>
        </w:rPr>
        <w:t>Billing Process - Payment Tracking</w:t>
      </w:r>
    </w:p>
    <w:p>
      <w:pPr>
        <w:pStyle w:val="Body"/>
        <w:rPr>
          <w:sz w:val="24"/>
          <w:szCs w:val="24"/>
        </w:rPr>
      </w:pPr>
    </w:p>
    <w:p>
      <w:pPr>
        <w:pStyle w:val="Body"/>
        <w:rPr>
          <w:sz w:val="24"/>
          <w:szCs w:val="24"/>
        </w:rPr>
      </w:pPr>
      <w:r>
        <w:rPr>
          <w:sz w:val="24"/>
          <w:szCs w:val="24"/>
          <w:rtl w:val="0"/>
          <w:lang w:val="en-US"/>
        </w:rPr>
        <w:t xml:space="preserve">Due to initial denials, and bills riddled with partial payments, </w:t>
      </w:r>
      <w:r>
        <w:rPr>
          <w:sz w:val="24"/>
          <w:szCs w:val="24"/>
          <w:rtl w:val="0"/>
          <w:lang w:val="en-US"/>
        </w:rPr>
        <w:t>it can become challenging to keep up with what has been paid and what is still due: for that I create a spreadsheet to track all charges and payments.</w:t>
      </w:r>
      <w:r>
        <w:rPr>
          <w:sz w:val="24"/>
          <w:szCs w:val="24"/>
          <w:rtl w:val="0"/>
          <w:lang w:val="en-US"/>
        </w:rPr>
        <w:t xml:space="preserve"> </w:t>
      </w:r>
    </w:p>
    <w:p>
      <w:pPr>
        <w:pStyle w:val="Body"/>
        <w:rPr>
          <w:sz w:val="24"/>
          <w:szCs w:val="24"/>
        </w:rPr>
      </w:pPr>
    </w:p>
    <w:p>
      <w:pPr>
        <w:pStyle w:val="Body"/>
        <w:rPr>
          <w:sz w:val="24"/>
          <w:szCs w:val="24"/>
        </w:rPr>
      </w:pPr>
      <w:r>
        <w:rPr>
          <w:sz w:val="24"/>
          <w:szCs w:val="24"/>
          <w:rtl w:val="0"/>
          <w:lang w:val="en-US"/>
        </w:rPr>
        <w:t>For example:</w:t>
      </w:r>
    </w:p>
    <w:p>
      <w:pPr>
        <w:pStyle w:val="Body"/>
        <w:rPr>
          <w:sz w:val="24"/>
          <w:szCs w:val="24"/>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6"/>
        <w:gridCol w:w="1567"/>
        <w:gridCol w:w="989"/>
        <w:gridCol w:w="1779"/>
        <w:gridCol w:w="1778"/>
        <w:gridCol w:w="1674"/>
      </w:tblGrid>
      <w:tr>
        <w:tblPrEx>
          <w:shd w:val="clear" w:color="auto" w:fill="fefffe"/>
        </w:tblPrEx>
        <w:trPr>
          <w:trHeight w:val="494" w:hRule="atLeast"/>
          <w:tblHeader/>
        </w:trPr>
        <w:tc>
          <w:tcPr>
            <w:tcW w:type="dxa" w:w="1566"/>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DOS</w:t>
            </w:r>
          </w:p>
        </w:tc>
        <w:tc>
          <w:tcPr>
            <w:tcW w:type="dxa" w:w="1566"/>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CPT CODE</w:t>
            </w:r>
          </w:p>
        </w:tc>
        <w:tc>
          <w:tcPr>
            <w:tcW w:type="dxa" w:w="989"/>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Units</w:t>
            </w:r>
          </w:p>
        </w:tc>
        <w:tc>
          <w:tcPr>
            <w:tcW w:type="dxa" w:w="1778"/>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Charge</w:t>
            </w:r>
          </w:p>
        </w:tc>
        <w:tc>
          <w:tcPr>
            <w:tcW w:type="dxa" w:w="1778"/>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Ins. Paid</w:t>
            </w:r>
          </w:p>
        </w:tc>
        <w:tc>
          <w:tcPr>
            <w:tcW w:type="dxa" w:w="1673"/>
            <w:tcBorders>
              <w:top w:val="single" w:color="000000" w:sz="2" w:space="0" w:shadow="0" w:frame="0"/>
              <w:left w:val="single" w:color="000000" w:sz="2" w:space="0" w:shadow="0" w:frame="0"/>
              <w:bottom w:val="single" w:color="406091" w:sz="8"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1"/>
              <w:jc w:val="center"/>
            </w:pPr>
            <w:r>
              <w:rPr>
                <w:rFonts w:ascii="Helvetica Neue" w:hAnsi="Helvetica Neue"/>
                <w:outline w:val="0"/>
                <w:color w:val="feffff"/>
                <w:rtl w:val="0"/>
                <w14:textFill>
                  <w14:solidFill>
                    <w14:srgbClr w14:val="FFFFFF"/>
                  </w14:solidFill>
                </w14:textFill>
              </w:rPr>
              <w:t>Balance Remaining</w:t>
            </w:r>
          </w:p>
        </w:tc>
      </w:tr>
      <w:tr>
        <w:tblPrEx>
          <w:shd w:val="clear" w:color="auto" w:fill="auto"/>
        </w:tblPrEx>
        <w:trPr>
          <w:trHeight w:val="251" w:hRule="atLeast"/>
        </w:trPr>
        <w:tc>
          <w:tcPr>
            <w:tcW w:type="dxa" w:w="1566"/>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01/02/2019</w:t>
            </w:r>
          </w:p>
        </w:tc>
        <w:tc>
          <w:tcPr>
            <w:tcW w:type="dxa" w:w="1566"/>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97140</w:t>
            </w:r>
          </w:p>
        </w:tc>
        <w:tc>
          <w:tcPr>
            <w:tcW w:type="dxa" w:w="989"/>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w:t>
            </w:r>
          </w:p>
        </w:tc>
        <w:tc>
          <w:tcPr>
            <w:tcW w:type="dxa" w:w="1778"/>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778"/>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673"/>
            <w:tcBorders>
              <w:top w:val="single" w:color="40609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w:t>
            </w:r>
          </w:p>
        </w:tc>
      </w:tr>
      <w:tr>
        <w:tblPrEx>
          <w:shd w:val="clear" w:color="auto" w:fill="auto"/>
        </w:tblPrEx>
        <w:trPr>
          <w:trHeight w:val="247" w:hRule="atLeast"/>
        </w:trPr>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99201</w:t>
            </w:r>
          </w:p>
        </w:tc>
        <w:tc>
          <w:tcPr>
            <w:tcW w:type="dxa" w:w="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1</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0</w:t>
            </w:r>
          </w:p>
        </w:tc>
      </w:tr>
      <w:tr>
        <w:tblPrEx>
          <w:shd w:val="clear" w:color="auto" w:fill="auto"/>
        </w:tblPrEx>
        <w:trPr>
          <w:trHeight w:val="247" w:hRule="atLeast"/>
        </w:trPr>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99010</w:t>
            </w:r>
          </w:p>
        </w:tc>
        <w:tc>
          <w:tcPr>
            <w:tcW w:type="dxa" w:w="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w:t>
            </w:r>
          </w:p>
        </w:tc>
      </w:tr>
      <w:tr>
        <w:tblPrEx>
          <w:shd w:val="clear" w:color="auto" w:fill="auto"/>
        </w:tblPrEx>
        <w:trPr>
          <w:trHeight w:val="247" w:hRule="atLeast"/>
        </w:trPr>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99070</w:t>
            </w:r>
          </w:p>
        </w:tc>
        <w:tc>
          <w:tcPr>
            <w:tcW w:type="dxa" w:w="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1</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0</w:t>
            </w:r>
          </w:p>
        </w:tc>
      </w:tr>
      <w:tr>
        <w:tblPrEx>
          <w:shd w:val="clear" w:color="auto" w:fill="auto"/>
        </w:tblPrEx>
        <w:trPr>
          <w:trHeight w:val="247" w:hRule="atLeast"/>
        </w:trPr>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tl w:val="0"/>
              </w:rPr>
              <w:t>01/12/2019</w:t>
            </w:r>
          </w:p>
        </w:tc>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97140</w:t>
            </w:r>
          </w:p>
        </w:tc>
        <w:tc>
          <w:tcPr>
            <w:tcW w:type="dxa" w:w="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w:t>
            </w:r>
          </w:p>
        </w:tc>
      </w:tr>
      <w:tr>
        <w:tblPrEx>
          <w:shd w:val="clear" w:color="auto" w:fill="auto"/>
        </w:tblPrEx>
        <w:trPr>
          <w:trHeight w:val="241" w:hRule="atLeast"/>
        </w:trPr>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5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99010</w:t>
            </w:r>
          </w:p>
        </w:tc>
        <w:tc>
          <w:tcPr>
            <w:tcW w:type="dxa" w:w="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1</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xx.xx</w:t>
            </w:r>
          </w:p>
        </w:tc>
        <w:tc>
          <w:tcPr>
            <w:tcW w:type="dxa" w:w="1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Neue" w:hAnsi="Helvetica Neue"/>
                <w:rtl w:val="0"/>
              </w:rPr>
              <w:t>0</w:t>
            </w:r>
          </w:p>
        </w:tc>
      </w:tr>
    </w:tbl>
    <w:p>
      <w:pPr>
        <w:pStyle w:val="Body"/>
        <w:rPr>
          <w:sz w:val="24"/>
          <w:szCs w:val="24"/>
        </w:rPr>
      </w:pPr>
    </w:p>
    <w:p>
      <w:pPr>
        <w:pStyle w:val="Body"/>
        <w:rPr>
          <w:b w:val="1"/>
          <w:bCs w:val="1"/>
          <w:sz w:val="24"/>
          <w:szCs w:val="24"/>
        </w:rPr>
      </w:pPr>
    </w:p>
    <w:p>
      <w:pPr>
        <w:pStyle w:val="Body"/>
        <w:jc w:val="center"/>
        <w:rPr>
          <w:sz w:val="24"/>
          <w:szCs w:val="24"/>
        </w:rPr>
      </w:pPr>
    </w:p>
    <w:p>
      <w:pPr>
        <w:pStyle w:val="Body"/>
        <w:jc w:val="center"/>
        <w:rPr>
          <w:sz w:val="24"/>
          <w:szCs w:val="24"/>
        </w:rPr>
      </w:pPr>
      <w:r>
        <w:rPr>
          <w:sz w:val="24"/>
          <w:szCs w:val="24"/>
          <w:rtl w:val="0"/>
          <w:lang w:val="en-US"/>
        </w:rPr>
        <w:t>_________________</w:t>
      </w:r>
    </w:p>
    <w:p>
      <w:pPr>
        <w:pStyle w:val="Body"/>
        <w:jc w:val="center"/>
        <w:rPr>
          <w:sz w:val="24"/>
          <w:szCs w:val="24"/>
        </w:rPr>
      </w:pPr>
    </w:p>
    <w:p>
      <w:pPr>
        <w:pStyle w:val="Body"/>
        <w:jc w:val="center"/>
        <w:rPr>
          <w:sz w:val="24"/>
          <w:szCs w:val="24"/>
        </w:rPr>
      </w:pPr>
    </w:p>
    <w:p>
      <w:pPr>
        <w:pStyle w:val="Body"/>
        <w:rPr>
          <w:sz w:val="24"/>
          <w:szCs w:val="24"/>
        </w:rPr>
      </w:pPr>
      <w:r>
        <w:rPr>
          <w:sz w:val="24"/>
          <w:szCs w:val="24"/>
          <w:rtl w:val="0"/>
          <w:lang w:val="en-US"/>
        </w:rPr>
        <w:t>Again, we want to be both cautious and accurate with our coding, as we want to properly establish that we actually are doing this work and not just upcoding to receive more money. It</w:t>
      </w:r>
      <w:r>
        <w:rPr>
          <w:sz w:val="24"/>
          <w:szCs w:val="24"/>
          <w:rtl w:val="0"/>
          <w:lang w:val="en-US"/>
        </w:rPr>
        <w:t>’</w:t>
      </w:r>
      <w:r>
        <w:rPr>
          <w:sz w:val="24"/>
          <w:szCs w:val="24"/>
          <w:rtl w:val="0"/>
          <w:lang w:val="en-US"/>
        </w:rPr>
        <w:t xml:space="preserve">s all about being professional and letting the insurance companies know what services we are providing.  </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Default"/>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en-US"/>
        </w:rPr>
        <w:t>Additional Information</w:t>
      </w:r>
    </w:p>
    <w:p>
      <w:pPr>
        <w:pStyle w:val="Default"/>
        <w:bidi w:val="0"/>
        <w:ind w:left="0" w:right="0" w:firstLine="0"/>
        <w:jc w:val="left"/>
        <w:rPr>
          <w:rFonts w:ascii="Helvetica" w:cs="Helvetica" w:hAnsi="Helvetica" w:eastAsia="Helvetica"/>
          <w:i w:val="1"/>
          <w:iCs w:val="1"/>
          <w:sz w:val="24"/>
          <w:szCs w:val="24"/>
          <w:rtl w:val="0"/>
        </w:rPr>
      </w:pPr>
    </w:p>
    <w:p>
      <w:pPr>
        <w:pStyle w:val="Default"/>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en-US"/>
        </w:rPr>
        <w:t>Medical and legal policy is subject to change: it is your responsibility to be up to date and to accurately document, so continue to educate yourself (View our disclaimer here.)</w:t>
      </w:r>
    </w:p>
    <w:p>
      <w:pPr>
        <w:pStyle w:val="Default"/>
        <w:bidi w:val="0"/>
        <w:ind w:left="0" w:right="0" w:firstLine="0"/>
        <w:jc w:val="left"/>
        <w:rPr>
          <w:rFonts w:ascii="Helvetica" w:cs="Helvetica" w:hAnsi="Helvetica" w:eastAsia="Helvetica"/>
          <w:i w:val="1"/>
          <w:iCs w:val="1"/>
          <w:sz w:val="24"/>
          <w:szCs w:val="24"/>
          <w:rtl w:val="0"/>
        </w:rPr>
      </w:pPr>
    </w:p>
    <w:p>
      <w:pPr>
        <w:pStyle w:val="Default"/>
        <w:bidi w:val="0"/>
        <w:ind w:left="0" w:right="0" w:firstLine="0"/>
        <w:jc w:val="left"/>
        <w:rPr>
          <w:rtl w:val="0"/>
        </w:rPr>
      </w:pPr>
      <w:r>
        <w:rPr>
          <w:rFonts w:ascii="Helvetica" w:hAnsi="Helvetica"/>
          <w:i w:val="1"/>
          <w:iCs w:val="1"/>
          <w:sz w:val="24"/>
          <w:szCs w:val="24"/>
          <w:rtl w:val="0"/>
          <w:lang w:val="en-US"/>
        </w:rPr>
        <w:t>We hope this has been helpful for you. If you have any questions, please consult our other resources online or contact us via info@mywsmta.org.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5">
    <w:name w:val="Table Style 5"/>
    <w:next w:val="Table Style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fefffe"/>
      <w:spacing w:val="0"/>
      <w:kern w:val="0"/>
      <w:position w:val="0"/>
      <w:sz w:val="20"/>
      <w:szCs w:val="20"/>
      <w:u w:val="none"/>
      <w:vertAlign w:val="baseline"/>
      <w14:textOutline>
        <w14:noFill/>
      </w14:textOutline>
      <w14:textFill>
        <w14:solidFill>
          <w14:srgbClr w14:val="FFFF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